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24" w:rsidRDefault="000C1D24" w:rsidP="000C1D24">
      <w:pPr>
        <w:spacing w:line="580" w:lineRule="exact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附件</w:t>
      </w:r>
    </w:p>
    <w:p w:rsidR="000C1D24" w:rsidRDefault="000C1D24" w:rsidP="000C1D24">
      <w:pPr>
        <w:spacing w:line="58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西安文理学院重点专业评估指标体系</w:t>
      </w:r>
    </w:p>
    <w:p w:rsidR="000C1D24" w:rsidRDefault="000C1D24" w:rsidP="000C1D24">
      <w:pPr>
        <w:spacing w:beforeLines="50" w:afterLines="50"/>
        <w:jc w:val="center"/>
        <w:rPr>
          <w:rFonts w:eastAsia="黑体"/>
          <w:bCs/>
          <w:color w:val="000000"/>
          <w:sz w:val="24"/>
        </w:rPr>
      </w:pPr>
      <w:r>
        <w:rPr>
          <w:rFonts w:eastAsia="黑体"/>
          <w:bCs/>
          <w:color w:val="000000"/>
          <w:sz w:val="24"/>
        </w:rPr>
        <w:t>（一）指标名称及其权重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83"/>
        <w:gridCol w:w="14"/>
        <w:gridCol w:w="801"/>
        <w:gridCol w:w="5168"/>
        <w:gridCol w:w="818"/>
      </w:tblGrid>
      <w:tr w:rsidR="000C1D24" w:rsidTr="00573F99">
        <w:trPr>
          <w:trHeight w:val="150"/>
          <w:tblHeader/>
          <w:jc w:val="center"/>
        </w:trPr>
        <w:tc>
          <w:tcPr>
            <w:tcW w:w="3198" w:type="dxa"/>
            <w:gridSpan w:val="3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一级指标</w:t>
            </w:r>
          </w:p>
        </w:tc>
        <w:tc>
          <w:tcPr>
            <w:tcW w:w="5986" w:type="dxa"/>
            <w:gridSpan w:val="2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二级指标</w:t>
            </w:r>
          </w:p>
        </w:tc>
      </w:tr>
      <w:tr w:rsidR="000C1D24" w:rsidTr="00573F99">
        <w:trPr>
          <w:trHeight w:val="175"/>
          <w:tblHeader/>
          <w:jc w:val="center"/>
        </w:trPr>
        <w:tc>
          <w:tcPr>
            <w:tcW w:w="2397" w:type="dxa"/>
            <w:gridSpan w:val="2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编号       名称</w:t>
            </w:r>
          </w:p>
        </w:tc>
        <w:tc>
          <w:tcPr>
            <w:tcW w:w="801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权重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编号                  名称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权重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1.建设规划与改革思路</w:t>
            </w:r>
          </w:p>
        </w:tc>
        <w:tc>
          <w:tcPr>
            <w:tcW w:w="801" w:type="dxa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1.1*专业建设的规划及实施方案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0.3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1.2 改革思路与措施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0.4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1.3 社会参与本专业建设情况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0.3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2.培养目标及培养模式</w:t>
            </w:r>
          </w:p>
        </w:tc>
        <w:tc>
          <w:tcPr>
            <w:tcW w:w="801" w:type="dxa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2.1*培养目标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2.2 培养模式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2.3*培养计划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0.3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2.4*教学（实验、实习、毕业论文或设计）大纲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3.师资队伍</w:t>
            </w:r>
          </w:p>
        </w:tc>
        <w:tc>
          <w:tcPr>
            <w:tcW w:w="801" w:type="dxa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3.1*提高教师素质的机制与措施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0.3</w:t>
            </w:r>
          </w:p>
        </w:tc>
      </w:tr>
      <w:tr w:rsidR="000C1D24" w:rsidTr="00573F99">
        <w:trPr>
          <w:trHeight w:val="493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3.2*师资结构（职称、年龄、专业方向、学缘、学历、主讲教师）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0.3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3.3 专业教师水平（课题、论文、获奖）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3.4 主讲教师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3.5 教师风范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4.教学条件及利用情况</w:t>
            </w:r>
          </w:p>
        </w:tc>
        <w:tc>
          <w:tcPr>
            <w:tcW w:w="801" w:type="dxa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4.1 教学基础设施与功能情况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4.2 图书资料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5.专业课程群建设</w:t>
            </w:r>
          </w:p>
        </w:tc>
        <w:tc>
          <w:tcPr>
            <w:tcW w:w="801" w:type="dxa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5.1*专业课程建设规划与效果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5.2 教学内容和体系改革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5.3*实践教学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5.4*教材、配套教材及软件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5.5 教学方法改革与现代教育技术的利用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0.1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6.教学管理</w:t>
            </w:r>
          </w:p>
        </w:tc>
        <w:tc>
          <w:tcPr>
            <w:tcW w:w="801" w:type="dxa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6.1 管理制度及教学文件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6.2*教学质量监控管理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0.3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6.3 毕业（设计）管理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97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6.4 教与学的积极性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 w:val="restart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7.教风、学风建设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7.1 学术、教研活动开展情况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0.4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7.2 教学事故比例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0.3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7.3 学生违纪比例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0.3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 w:val="restart"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8.科学研究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8.1科研成果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0C1D24" w:rsidRDefault="000C1D24" w:rsidP="00573F9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8.2教学研究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 w:val="restart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9.专业建设效果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9.1*学生对专业评价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9.2*专家对专业评价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9.3近3年学生成绩及总体评价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9.4毕业论文及设计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9.5*社会评价及毕业生的主要流向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0.2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 w:val="restart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10.专业辐射面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10.1专业受益面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10.2学生受益面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 w:val="restart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11.专业特色及优势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11.1专业特色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0.5</w:t>
            </w:r>
          </w:p>
        </w:tc>
      </w:tr>
      <w:tr w:rsidR="000C1D24" w:rsidTr="00573F99">
        <w:trPr>
          <w:trHeight w:hRule="exact" w:val="284"/>
          <w:jc w:val="center"/>
        </w:trPr>
        <w:tc>
          <w:tcPr>
            <w:tcW w:w="2383" w:type="dxa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0C1D24" w:rsidRDefault="000C1D24" w:rsidP="00573F9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168" w:type="dxa"/>
            <w:vAlign w:val="center"/>
          </w:tcPr>
          <w:p w:rsidR="000C1D24" w:rsidRDefault="000C1D24" w:rsidP="00573F99">
            <w:pPr>
              <w:spacing w:line="24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11.2专业优势</w:t>
            </w:r>
          </w:p>
        </w:tc>
        <w:tc>
          <w:tcPr>
            <w:tcW w:w="818" w:type="dxa"/>
            <w:vAlign w:val="center"/>
          </w:tcPr>
          <w:p w:rsidR="000C1D24" w:rsidRDefault="000C1D24" w:rsidP="00573F9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0.5</w:t>
            </w:r>
          </w:p>
        </w:tc>
      </w:tr>
    </w:tbl>
    <w:p w:rsidR="000C1D24" w:rsidRDefault="000C1D24" w:rsidP="000C1D24">
      <w:pPr>
        <w:spacing w:line="220" w:lineRule="exact"/>
        <w:ind w:left="461" w:hangingChars="256" w:hanging="461"/>
        <w:rPr>
          <w:rFonts w:eastAsia="方正楷体简体"/>
          <w:color w:val="000000"/>
          <w:sz w:val="18"/>
          <w:szCs w:val="18"/>
        </w:rPr>
      </w:pPr>
      <w:r>
        <w:rPr>
          <w:rFonts w:eastAsia="方正楷体简体"/>
          <w:color w:val="000000"/>
          <w:sz w:val="18"/>
          <w:szCs w:val="18"/>
        </w:rPr>
        <w:t>注：</w:t>
      </w:r>
      <w:r>
        <w:rPr>
          <w:rFonts w:eastAsia="方正楷体简体"/>
          <w:color w:val="000000"/>
          <w:sz w:val="18"/>
          <w:szCs w:val="18"/>
        </w:rPr>
        <w:t>1</w:t>
      </w:r>
      <w:r>
        <w:rPr>
          <w:rFonts w:eastAsia="方正楷体简体"/>
          <w:color w:val="000000"/>
          <w:szCs w:val="21"/>
        </w:rPr>
        <w:t>.</w:t>
      </w:r>
      <w:r>
        <w:rPr>
          <w:rFonts w:eastAsia="方正楷体简体"/>
          <w:color w:val="000000"/>
          <w:sz w:val="18"/>
          <w:szCs w:val="18"/>
        </w:rPr>
        <w:t>共分</w:t>
      </w:r>
      <w:r>
        <w:rPr>
          <w:rFonts w:eastAsia="方正楷体简体"/>
          <w:color w:val="000000"/>
          <w:sz w:val="18"/>
          <w:szCs w:val="18"/>
        </w:rPr>
        <w:t>4</w:t>
      </w:r>
      <w:r>
        <w:rPr>
          <w:rFonts w:eastAsia="方正楷体简体"/>
          <w:color w:val="000000"/>
          <w:sz w:val="18"/>
          <w:szCs w:val="18"/>
        </w:rPr>
        <w:t>个等级（</w:t>
      </w:r>
      <w:r>
        <w:rPr>
          <w:rFonts w:eastAsia="方正楷体简体"/>
          <w:color w:val="000000"/>
          <w:sz w:val="18"/>
          <w:szCs w:val="18"/>
        </w:rPr>
        <w:t>A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B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C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D</w:t>
      </w:r>
      <w:r>
        <w:rPr>
          <w:rFonts w:eastAsia="方正楷体简体"/>
          <w:color w:val="000000"/>
          <w:sz w:val="18"/>
          <w:szCs w:val="18"/>
        </w:rPr>
        <w:t>），</w:t>
      </w:r>
      <w:r>
        <w:rPr>
          <w:rFonts w:eastAsia="方正楷体简体"/>
          <w:color w:val="000000"/>
          <w:sz w:val="18"/>
          <w:szCs w:val="18"/>
        </w:rPr>
        <w:t>A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C</w:t>
      </w:r>
      <w:r>
        <w:rPr>
          <w:rFonts w:eastAsia="方正楷体简体"/>
          <w:color w:val="000000"/>
          <w:sz w:val="18"/>
          <w:szCs w:val="18"/>
        </w:rPr>
        <w:t>在评价指标内涵及其标准中给出，介于</w:t>
      </w:r>
      <w:r>
        <w:rPr>
          <w:rFonts w:eastAsia="方正楷体简体"/>
          <w:color w:val="000000"/>
          <w:sz w:val="18"/>
          <w:szCs w:val="18"/>
        </w:rPr>
        <w:t>A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C</w:t>
      </w:r>
      <w:r>
        <w:rPr>
          <w:rFonts w:eastAsia="方正楷体简体"/>
          <w:color w:val="000000"/>
          <w:sz w:val="18"/>
          <w:szCs w:val="18"/>
        </w:rPr>
        <w:t>之间者为</w:t>
      </w:r>
      <w:r>
        <w:rPr>
          <w:rFonts w:eastAsia="方正楷体简体"/>
          <w:color w:val="000000"/>
          <w:sz w:val="18"/>
          <w:szCs w:val="18"/>
        </w:rPr>
        <w:t>B</w:t>
      </w:r>
      <w:r>
        <w:rPr>
          <w:rFonts w:eastAsia="方正楷体简体"/>
          <w:color w:val="000000"/>
          <w:sz w:val="18"/>
          <w:szCs w:val="18"/>
        </w:rPr>
        <w:t>，低于</w:t>
      </w:r>
      <w:r>
        <w:rPr>
          <w:rFonts w:eastAsia="方正楷体简体"/>
          <w:color w:val="000000"/>
          <w:sz w:val="18"/>
          <w:szCs w:val="18"/>
        </w:rPr>
        <w:t>C</w:t>
      </w:r>
      <w:r>
        <w:rPr>
          <w:rFonts w:eastAsia="方正楷体简体"/>
          <w:color w:val="000000"/>
          <w:sz w:val="18"/>
          <w:szCs w:val="18"/>
        </w:rPr>
        <w:t>者为</w:t>
      </w:r>
      <w:r>
        <w:rPr>
          <w:rFonts w:eastAsia="方正楷体简体"/>
          <w:color w:val="000000"/>
          <w:sz w:val="18"/>
          <w:szCs w:val="18"/>
        </w:rPr>
        <w:t>D</w:t>
      </w:r>
      <w:r>
        <w:rPr>
          <w:rFonts w:eastAsia="方正楷体简体"/>
          <w:color w:val="000000"/>
          <w:sz w:val="18"/>
          <w:szCs w:val="18"/>
        </w:rPr>
        <w:t>。</w:t>
      </w:r>
      <w:r>
        <w:rPr>
          <w:rFonts w:eastAsia="方正楷体简体"/>
          <w:color w:val="000000"/>
          <w:sz w:val="18"/>
          <w:szCs w:val="18"/>
        </w:rPr>
        <w:t>A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B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C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D</w:t>
      </w:r>
      <w:r>
        <w:rPr>
          <w:rFonts w:eastAsia="方正楷体简体"/>
          <w:color w:val="000000"/>
          <w:sz w:val="18"/>
          <w:szCs w:val="18"/>
        </w:rPr>
        <w:t>的分值分别为</w:t>
      </w:r>
      <w:r>
        <w:rPr>
          <w:rFonts w:eastAsia="方正楷体简体"/>
          <w:color w:val="000000"/>
          <w:sz w:val="18"/>
          <w:szCs w:val="18"/>
        </w:rPr>
        <w:t>10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8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6</w:t>
      </w:r>
      <w:r>
        <w:rPr>
          <w:rFonts w:eastAsia="方正楷体简体"/>
          <w:color w:val="000000"/>
          <w:sz w:val="18"/>
          <w:szCs w:val="18"/>
        </w:rPr>
        <w:t>、</w:t>
      </w:r>
      <w:r>
        <w:rPr>
          <w:rFonts w:eastAsia="方正楷体简体"/>
          <w:color w:val="000000"/>
          <w:sz w:val="18"/>
          <w:szCs w:val="18"/>
        </w:rPr>
        <w:t>3</w:t>
      </w:r>
      <w:r>
        <w:rPr>
          <w:rFonts w:eastAsia="方正楷体简体"/>
          <w:color w:val="000000"/>
          <w:sz w:val="18"/>
          <w:szCs w:val="18"/>
        </w:rPr>
        <w:t>。</w:t>
      </w:r>
      <w:r>
        <w:rPr>
          <w:rFonts w:eastAsia="方正楷体简体"/>
          <w:color w:val="000000"/>
          <w:sz w:val="18"/>
          <w:szCs w:val="18"/>
        </w:rPr>
        <w:t>2</w:t>
      </w:r>
      <w:r>
        <w:rPr>
          <w:rFonts w:eastAsia="方正楷体简体"/>
          <w:color w:val="000000"/>
          <w:szCs w:val="21"/>
        </w:rPr>
        <w:t>.</w:t>
      </w:r>
      <w:r>
        <w:rPr>
          <w:rFonts w:eastAsia="方正楷体简体"/>
          <w:color w:val="000000"/>
          <w:sz w:val="18"/>
          <w:szCs w:val="18"/>
        </w:rPr>
        <w:t>标</w:t>
      </w:r>
      <w:r>
        <w:rPr>
          <w:rFonts w:eastAsia="方正楷体简体"/>
          <w:color w:val="000000"/>
          <w:sz w:val="18"/>
          <w:szCs w:val="18"/>
        </w:rPr>
        <w:t>*</w:t>
      </w:r>
      <w:r>
        <w:rPr>
          <w:rFonts w:eastAsia="方正楷体简体"/>
          <w:color w:val="000000"/>
          <w:sz w:val="18"/>
          <w:szCs w:val="18"/>
        </w:rPr>
        <w:t>号者为核心指标，核心指标中有一项未达到</w:t>
      </w:r>
      <w:r>
        <w:rPr>
          <w:rFonts w:eastAsia="方正楷体简体"/>
          <w:color w:val="000000"/>
          <w:sz w:val="18"/>
          <w:szCs w:val="18"/>
        </w:rPr>
        <w:t>A</w:t>
      </w:r>
      <w:r>
        <w:rPr>
          <w:rFonts w:eastAsia="方正楷体简体"/>
          <w:color w:val="000000"/>
          <w:sz w:val="18"/>
          <w:szCs w:val="18"/>
        </w:rPr>
        <w:t>级要求者，不能评为重点专业。</w:t>
      </w:r>
    </w:p>
    <w:p w:rsidR="000C1D24" w:rsidRDefault="000C1D24" w:rsidP="000C1D24">
      <w:pPr>
        <w:spacing w:afterLines="50"/>
        <w:jc w:val="center"/>
        <w:rPr>
          <w:rFonts w:eastAsia="黑体"/>
          <w:bCs/>
          <w:color w:val="000000"/>
          <w:sz w:val="24"/>
        </w:rPr>
      </w:pPr>
      <w:r>
        <w:rPr>
          <w:color w:val="000000"/>
        </w:rPr>
        <w:br w:type="page"/>
      </w:r>
      <w:r>
        <w:rPr>
          <w:rFonts w:eastAsia="黑体"/>
          <w:bCs/>
          <w:color w:val="000000"/>
          <w:sz w:val="24"/>
        </w:rPr>
        <w:lastRenderedPageBreak/>
        <w:t>（二）评估指标内涵及其标准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7"/>
        <w:gridCol w:w="1525"/>
        <w:gridCol w:w="2171"/>
        <w:gridCol w:w="1929"/>
        <w:gridCol w:w="1284"/>
        <w:gridCol w:w="528"/>
        <w:gridCol w:w="528"/>
        <w:gridCol w:w="556"/>
      </w:tblGrid>
      <w:tr w:rsidR="000C1D24" w:rsidTr="00573F99">
        <w:trPr>
          <w:trHeight w:val="243"/>
          <w:tblHeader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一级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525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二级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5384" w:type="dxa"/>
            <w:gridSpan w:val="3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评价等级标准</w:t>
            </w:r>
          </w:p>
        </w:tc>
        <w:tc>
          <w:tcPr>
            <w:tcW w:w="528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10"/>
                <w:sz w:val="20"/>
                <w:szCs w:val="20"/>
              </w:rPr>
              <w:t>自 评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等级</w:t>
            </w:r>
          </w:p>
        </w:tc>
        <w:tc>
          <w:tcPr>
            <w:tcW w:w="528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系评等级</w:t>
            </w:r>
            <w:proofErr w:type="gramEnd"/>
          </w:p>
        </w:tc>
        <w:tc>
          <w:tcPr>
            <w:tcW w:w="556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校评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等级</w:t>
            </w:r>
          </w:p>
        </w:tc>
      </w:tr>
      <w:tr w:rsidR="000C1D24" w:rsidTr="00573F99">
        <w:trPr>
          <w:trHeight w:val="116"/>
          <w:tblHeader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A级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C级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评定依据</w:t>
            </w:r>
          </w:p>
        </w:tc>
        <w:tc>
          <w:tcPr>
            <w:tcW w:w="528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43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1.建设规划与改革思路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*1.1专业建设规划及实施方案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目标明确，规划科学、合理，措施得当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在规划、有措施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规划、方案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1.2改革思路与措施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思路清晰，措施得当，成效明显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有思路，但成效不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有关政策，教师座谈，成效依据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1.3社会参与本专业建设情况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社会参与本专业建设，成效显著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能够利用社会力量办专业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政策、介绍、依据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735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2.培养目标及培养模式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2.1培养目标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目标明确，符合学校的定位及社会发展需要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有目标，能考虑社会发展需要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有关文件及认证报告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721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2.2培养模式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模式有特色，有实效，符合培养目标的要求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模式基本符合培养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目标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有关文件及论证报告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1587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*2.3培养计划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（国家专业目录规定的主要课程的开出率）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科学合理，符合培养目标，课程设置优化，体现知识、能力、素质的协调发展，有利于人才素质的全面提高和个性发展。达到100%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基本能反映培养目标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[80%，90%]区间内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培养计划及专家审定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*2.4教学（实验、实习、毕业论文或设计）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大纲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符合课程目标，质量高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完整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大纲，专家审定意见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1266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3.师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资队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伍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*3.1提高教师素质的机制与措施；青年教师培养规划与措施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机制完善，措施得力，成效明显；有切实可行的青年教师培养规划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有鼓励、帮助教师提高教学质量的政策与措施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文件，教师座谈，有关人员名单及情况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901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3.2师资结构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①年龄、职称、学缘结构：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②4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8"/>
                <w:sz w:val="20"/>
                <w:szCs w:val="20"/>
              </w:rPr>
              <w:t>5岁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以下教师中具有硕士以上学位者：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③该专业开出的必修课的任课教师中高级职称教师所占比例：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合理，发展趋势良好，满足教学需要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≥60%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≥50%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基本满足现有教学需要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35%~45%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30%~40%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教师及任课情况表，学生座谈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644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3.3主讲教师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符合岗位资格教师≥95%，教授副教授均为本科生上课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3190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3.师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资队</w:t>
            </w:r>
          </w:p>
          <w:p w:rsidR="000C1D24" w:rsidRDefault="000C1D24" w:rsidP="00573F99">
            <w:pPr>
              <w:spacing w:line="320" w:lineRule="exact"/>
              <w:ind w:firstLineChars="50" w:firstLine="100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伍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3.4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0"/>
                <w:szCs w:val="20"/>
              </w:rPr>
              <w:t>专业教师水平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①近3年公开发表论文：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  <w:t>参加教研、科研课题的教师比例：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③80%以上教师的学生评分：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④教师获奖率（含科研、教研、教学、综合奖：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2篇/人·年，50%教师有论文在核心期刊发表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≥70%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≥80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≥20%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1篇/人·年，并有论文在核心期刊发表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30%~50%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65~70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5%~10%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奖励证明，发表论文，学生评分，课题</w:t>
            </w:r>
          </w:p>
          <w:p w:rsidR="000C1D24" w:rsidRDefault="000C1D24" w:rsidP="00573F99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证明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139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3.5教师风范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教书育人有举措，教风良好，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教率=0，规定课程完成率≥95%，调教率≤5%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教率≤1%，调教率≤8%，规定课程完成率≤95%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92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4.教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学条件及利用情况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4.1教学基础设施与功能情况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设施和功能完善，能满足教学需要，达到国家规定的合格标准，并得到充分利用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设施和功能基本满足教学需要，利用较充分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（实验）教学设施，开放实验室，多媒体教室，实习基地，6项生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均教学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经费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308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4.2图书资料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教学资料丰富，能反映最新学术动态，资料管理好，师生查阅方便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资料不全且陈旧或管理不善或查阅不方便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资料数目规章制度借阅记录人员素质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308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4.3实践基地建设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有稳定的校内外教学实践基地，接纳学生≥90%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接纳学生≥75%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1671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5.专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业课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程群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建设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5.1专业课程建设规划与效果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规划合理、可行，效果明显（精品课程、优秀课程≥3门，所有专业课程评价打分不低于75分）；至少有1门课程采用双语教学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有规划和一定效果（有1门精品课程或优秀课程），所有专业课程评价打分在[60，69] 区间内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规划及效果证明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216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5.2教学内容和体系改革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同一学科专业课程群在内容体系上，反映最新学科知识，符合学科体系，与培养目标相一致，开出了反映本专业最新发展的选修课，选修课比例占总学分比例≥25%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能基本反映最新学科知识，基本符合学科体系，有利于培养目标的实现，选修课能开一些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专家评议，学生座谈，改革方案及实证材料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3489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5.专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业课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程群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建设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*5.3实践教学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培养学生创新意识、创新能力和实践能力的措施，积极开展第二课堂、第三课堂活动，效果好；在完成基础实验基础上，有40%的课程能开出，积极有效开展设计性综合实验教学并占有实验的课程总数的80%以上，学生参与开放式实验率≥20%，积极开展案例教学和课程实训，效果好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有措施，有综合、设计性实验，有对学生开放的实验室，有社会实践活动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实践教学内容与体系，规划措施，实证材料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1504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*5.5教材及配套教材与软件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  <w:t>全部选用获国家、省部级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  <w:t>以上奖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  <w:t>或公认水平较高的优秀教材；配套教材及软件完整；有省级以上获奖教材或配套软件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基本选用获国家、省部级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以上奖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或公认水平较高的优秀教材，有配套教材或软件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教材及教材选用批准单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1810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5.6教学方法改革及现代教育技术的利用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  <w:t>积极改革教学方法（特别是考试方法），成效显著；必修课应用多媒体授课的课时不低于20％，有一定数量自行研制开发的多媒体课件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注意改革教学方法，利用现代教育技术，必修课应用多媒体授课的课时在[15%，18%]区间内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课件、教具展示，听课，学生座谈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122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6.教</w:t>
            </w:r>
          </w:p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学管理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6.1管理制度及教学文件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制度严明，执行严格，文件（人才培养计划、教学大纲、进度表、课程表等）齐全，管理观念先进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有制度，执行情况一般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培养计划、开课计划、管理制度，执行记录，教学日历、课程档案、试卷等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1802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*6.2教学质量监控管理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教学过程清晰，质量标准及监控体系科学完整，执行情况好；基础课、专业主干课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评优率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≥50%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有质量标准和监控体系，执行情况一般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质量标准、评课制度、考核管理、执行记录、毕业生质量的反馈系统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875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6.3毕业（设计）管理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制度明确，管理严格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有制度，执行情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一般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有关文件、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记录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872"/>
          <w:jc w:val="center"/>
        </w:trPr>
        <w:tc>
          <w:tcPr>
            <w:tcW w:w="587" w:type="dxa"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6.教学管理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6.4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教与学的积极性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①教师任课门数及数量：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  <w:t>②学生晚自修率：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  <w:t>③研究生报考率：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  <w:t>④研究生录取率：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⑤参加科技文化、社团率：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⑥生均年借阅图书数：</w:t>
            </w:r>
          </w:p>
        </w:tc>
        <w:tc>
          <w:tcPr>
            <w:tcW w:w="2171" w:type="dxa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2门/人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高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≥30%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≥15%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≥80%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≥30册</w:t>
            </w:r>
          </w:p>
        </w:tc>
        <w:tc>
          <w:tcPr>
            <w:tcW w:w="1929" w:type="dxa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1.5门/人左右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一般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[15%，25%]区间内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≥10%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[50%，60%]区间内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10~20册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有关部门材料证据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1359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7.教风、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学风情况</w:t>
            </w:r>
          </w:p>
        </w:tc>
        <w:tc>
          <w:tcPr>
            <w:tcW w:w="1525" w:type="dxa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2"/>
                <w:sz w:val="20"/>
                <w:szCs w:val="20"/>
              </w:rPr>
              <w:t>7.1学术、教研活动开展情况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2"/>
                <w:sz w:val="20"/>
                <w:szCs w:val="20"/>
              </w:rPr>
              <w:t>①近3年参加国内外学术、教学会议情况：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2"/>
                <w:sz w:val="20"/>
                <w:szCs w:val="20"/>
              </w:rPr>
              <w:t>②举办学术、教研活动情况：</w:t>
            </w:r>
          </w:p>
        </w:tc>
        <w:tc>
          <w:tcPr>
            <w:tcW w:w="2171" w:type="dxa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5次/年，有交流论文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5次/年</w:t>
            </w:r>
          </w:p>
        </w:tc>
        <w:tc>
          <w:tcPr>
            <w:tcW w:w="1929" w:type="dxa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2~3次/年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1次/年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会议通知，交流论文，会议纪要活动记录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7.2教学事故比例（近3年）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[2%，5%]区间内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文件、记录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7.3学生违纪比例（近3年）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基本无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[3%，5%]区间内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文件、记录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8.科学研究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8.1科研成果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科研成果突出、效果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有一定科研成果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资料、文件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8.2 教学研究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积极开展教学研究，有较高层次的立项、项目或教改成果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注意开展教学研究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资料、文件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116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9.专业建设效果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*9.1学生对专业评价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平均≥85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[65，74]区间内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学生评分，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学生座谈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43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  <w:t>*9.2专家对专业评价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平均≥85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[65，74]区间内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听课评分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410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9.3近3年学生成绩及总体评价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①省级以上统考合格率：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0"/>
                <w:szCs w:val="20"/>
              </w:rPr>
              <w:t>三、四年级学生论文发表及研究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③成果率：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④毕业率：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⑤学位获取率：</w:t>
            </w:r>
          </w:p>
        </w:tc>
        <w:tc>
          <w:tcPr>
            <w:tcW w:w="2171" w:type="dxa"/>
          </w:tcPr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≥90%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≥3%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≥95%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≥90%</w:t>
            </w:r>
          </w:p>
        </w:tc>
        <w:tc>
          <w:tcPr>
            <w:tcW w:w="1929" w:type="dxa"/>
          </w:tcPr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[60%，70%]区间内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[0.5%，1%]区间内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[85%，90%]区间内</w:t>
            </w:r>
          </w:p>
          <w:p w:rsidR="000C1D24" w:rsidRDefault="000C1D24" w:rsidP="00573F99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[70%，80%]区间内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9.专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业建设效果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9.4毕业论文或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设计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选题的性质、难度、分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量及综合训练能结合实际，全面反映培养目标要求，质量好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能结合实际，基本符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合培养目标要求，质量一般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选题及抽样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分析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*9.5社会评价及毕业生的主要流向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总体评价好；流向合理，能很好地体现学校的服务方向，第一志愿填报率≥85%，一次性就业率≥85%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总体评价一般；流向基本合理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用人单位评价表，毕业生分配情况表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.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专业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辐射</w:t>
            </w:r>
          </w:p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  <w:szCs w:val="20"/>
              </w:rPr>
              <w:t>面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10.1专业受益面（兼外专业的专业及专业基础课）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≥2个专业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1个专业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有关统计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255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10.2学生受益面①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全校非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本专业选课人数排名：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②辅修人数排名：</w:t>
            </w:r>
          </w:p>
        </w:tc>
        <w:tc>
          <w:tcPr>
            <w:tcW w:w="2171" w:type="dxa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前5名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前5名</w:t>
            </w:r>
          </w:p>
        </w:tc>
        <w:tc>
          <w:tcPr>
            <w:tcW w:w="1929" w:type="dxa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前10~15名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前10~15名</w:t>
            </w:r>
          </w:p>
        </w:tc>
        <w:tc>
          <w:tcPr>
            <w:tcW w:w="1284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选课、辅修、人数统计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912"/>
          <w:jc w:val="center"/>
        </w:trPr>
        <w:tc>
          <w:tcPr>
            <w:tcW w:w="587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11.附加专业特色与优势</w:t>
            </w: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11.1专业特色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特色明显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有特色</w:t>
            </w:r>
          </w:p>
        </w:tc>
        <w:tc>
          <w:tcPr>
            <w:tcW w:w="1284" w:type="dxa"/>
            <w:vMerge w:val="restart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自评报告，</w:t>
            </w:r>
          </w:p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实证材料</w:t>
            </w: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0C1D24" w:rsidTr="00573F99">
        <w:trPr>
          <w:trHeight w:val="642"/>
          <w:jc w:val="center"/>
        </w:trPr>
        <w:tc>
          <w:tcPr>
            <w:tcW w:w="587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11.2专业优势</w:t>
            </w:r>
          </w:p>
        </w:tc>
        <w:tc>
          <w:tcPr>
            <w:tcW w:w="2171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优势明显</w:t>
            </w:r>
          </w:p>
        </w:tc>
        <w:tc>
          <w:tcPr>
            <w:tcW w:w="1929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有优势</w:t>
            </w:r>
          </w:p>
        </w:tc>
        <w:tc>
          <w:tcPr>
            <w:tcW w:w="1284" w:type="dxa"/>
            <w:vMerge/>
            <w:vAlign w:val="center"/>
          </w:tcPr>
          <w:p w:rsidR="000C1D24" w:rsidRDefault="000C1D24" w:rsidP="00573F99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0C1D24" w:rsidRDefault="000C1D24" w:rsidP="00573F99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</w:tbl>
    <w:p w:rsidR="002E2778" w:rsidRDefault="002E2778"/>
    <w:sectPr w:rsidR="002E2778" w:rsidSect="002E2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D24"/>
    <w:rsid w:val="000C1D24"/>
    <w:rsid w:val="002E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2017-10-14T02:13:00Z</dcterms:created>
  <dcterms:modified xsi:type="dcterms:W3CDTF">2017-10-14T02:15:00Z</dcterms:modified>
</cp:coreProperties>
</file>